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A4" w:rsidRPr="00700A33" w:rsidRDefault="00A725C6" w:rsidP="002B2BAF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700A33" w:rsidRDefault="00A725C6" w:rsidP="002B2B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0A33">
        <w:rPr>
          <w:rFonts w:ascii="Times New Roman" w:hAnsi="Times New Roman" w:cs="Times New Roman"/>
          <w:sz w:val="24"/>
          <w:szCs w:val="24"/>
        </w:rPr>
        <w:t xml:space="preserve">Professional nurses </w:t>
      </w:r>
      <w:r w:rsidR="00B04365">
        <w:rPr>
          <w:rFonts w:ascii="Times New Roman" w:hAnsi="Times New Roman" w:cs="Times New Roman"/>
          <w:sz w:val="24"/>
          <w:szCs w:val="24"/>
        </w:rPr>
        <w:t>as well as</w:t>
      </w:r>
      <w:r w:rsidR="00B75540" w:rsidRPr="00700A33">
        <w:rPr>
          <w:rFonts w:ascii="Times New Roman" w:hAnsi="Times New Roman" w:cs="Times New Roman"/>
          <w:sz w:val="24"/>
          <w:szCs w:val="24"/>
        </w:rPr>
        <w:t xml:space="preserve"> licensed nursing practitioners join nursing </w:t>
      </w:r>
      <w:r w:rsidR="00B04365">
        <w:rPr>
          <w:rFonts w:ascii="Times New Roman" w:hAnsi="Times New Roman" w:cs="Times New Roman"/>
          <w:sz w:val="24"/>
          <w:szCs w:val="24"/>
        </w:rPr>
        <w:t xml:space="preserve">related </w:t>
      </w:r>
      <w:r w:rsidR="00B75540" w:rsidRPr="00700A33">
        <w:rPr>
          <w:rFonts w:ascii="Times New Roman" w:hAnsi="Times New Roman" w:cs="Times New Roman"/>
          <w:sz w:val="24"/>
          <w:szCs w:val="24"/>
        </w:rPr>
        <w:t xml:space="preserve">organizations based on </w:t>
      </w:r>
      <w:r w:rsidR="00B04365">
        <w:rPr>
          <w:rFonts w:ascii="Times New Roman" w:hAnsi="Times New Roman" w:cs="Times New Roman"/>
          <w:sz w:val="24"/>
          <w:szCs w:val="24"/>
        </w:rPr>
        <w:t>various</w:t>
      </w:r>
      <w:r w:rsidR="00B75540" w:rsidRPr="00700A33">
        <w:rPr>
          <w:rFonts w:ascii="Times New Roman" w:hAnsi="Times New Roman" w:cs="Times New Roman"/>
          <w:sz w:val="24"/>
          <w:szCs w:val="24"/>
        </w:rPr>
        <w:t xml:space="preserve"> reasons. For instance, they join these nursing organizations to acquire an</w:t>
      </w:r>
      <w:r w:rsidR="00BD6E00" w:rsidRPr="00700A33">
        <w:rPr>
          <w:rFonts w:ascii="Times New Roman" w:hAnsi="Times New Roman" w:cs="Times New Roman"/>
          <w:sz w:val="24"/>
          <w:szCs w:val="24"/>
        </w:rPr>
        <w:t>d</w:t>
      </w:r>
      <w:r w:rsidR="00B75540" w:rsidRPr="00700A33">
        <w:rPr>
          <w:rFonts w:ascii="Times New Roman" w:hAnsi="Times New Roman" w:cs="Times New Roman"/>
          <w:sz w:val="24"/>
          <w:szCs w:val="24"/>
        </w:rPr>
        <w:t xml:space="preserve"> learn the current issues within the nursing field and keep current or specialty. Others </w:t>
      </w:r>
      <w:r w:rsidR="00B73354" w:rsidRPr="00700A33">
        <w:rPr>
          <w:rFonts w:ascii="Times New Roman" w:hAnsi="Times New Roman" w:cs="Times New Roman"/>
          <w:sz w:val="24"/>
          <w:szCs w:val="24"/>
        </w:rPr>
        <w:t xml:space="preserve">join the organizations to get networked and get peer recognition based on the active membership with such major organizations. According </w:t>
      </w:r>
      <w:r w:rsidR="00D56EE8" w:rsidRPr="00700A33">
        <w:rPr>
          <w:rFonts w:ascii="Times New Roman" w:hAnsi="Times New Roman" w:cs="Times New Roman"/>
          <w:sz w:val="24"/>
          <w:szCs w:val="24"/>
        </w:rPr>
        <w:t xml:space="preserve">to </w:t>
      </w:r>
      <w:r w:rsidR="00D56EE8"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Sharafi et al. (2021</w:t>
      </w:r>
      <w:r w:rsidR="00B73354" w:rsidRPr="00700A3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active </w:t>
      </w:r>
      <w:r w:rsidR="00B73354" w:rsidRPr="00700A33">
        <w:rPr>
          <w:rFonts w:ascii="Times New Roman" w:hAnsi="Times New Roman" w:cs="Times New Roman"/>
          <w:sz w:val="24"/>
          <w:szCs w:val="24"/>
        </w:rPr>
        <w:t>nurses may j</w:t>
      </w:r>
      <w:r w:rsidR="0010572C">
        <w:rPr>
          <w:rFonts w:ascii="Times New Roman" w:hAnsi="Times New Roman" w:cs="Times New Roman"/>
          <w:sz w:val="24"/>
          <w:szCs w:val="24"/>
        </w:rPr>
        <w:t xml:space="preserve">oin major nursing organizations, </w:t>
      </w:r>
      <w:r w:rsidR="00F43615">
        <w:rPr>
          <w:rFonts w:ascii="Times New Roman" w:hAnsi="Times New Roman" w:cs="Times New Roman"/>
          <w:sz w:val="24"/>
          <w:szCs w:val="24"/>
        </w:rPr>
        <w:t>for example</w:t>
      </w:r>
      <w:r w:rsidR="0010572C">
        <w:rPr>
          <w:rFonts w:ascii="Times New Roman" w:hAnsi="Times New Roman" w:cs="Times New Roman"/>
          <w:sz w:val="24"/>
          <w:szCs w:val="24"/>
        </w:rPr>
        <w:t xml:space="preserve">, </w:t>
      </w:r>
      <w:r w:rsidR="00BD6E00" w:rsidRPr="00700A33">
        <w:rPr>
          <w:rFonts w:ascii="Times New Roman" w:hAnsi="Times New Roman" w:cs="Times New Roman"/>
          <w:sz w:val="24"/>
          <w:szCs w:val="24"/>
        </w:rPr>
        <w:t xml:space="preserve">American Nurses Association. </w:t>
      </w:r>
      <w:bookmarkStart w:id="0" w:name="_GoBack"/>
      <w:bookmarkEnd w:id="0"/>
    </w:p>
    <w:p w:rsidR="00700A33" w:rsidRDefault="00A725C6" w:rsidP="002B2B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0A33">
        <w:rPr>
          <w:rFonts w:ascii="Times New Roman" w:hAnsi="Times New Roman" w:cs="Times New Roman"/>
          <w:sz w:val="24"/>
          <w:szCs w:val="24"/>
        </w:rPr>
        <w:t>In general, professional nursing organizations are importa</w:t>
      </w:r>
      <w:r w:rsidRPr="00700A33">
        <w:rPr>
          <w:rFonts w:ascii="Times New Roman" w:hAnsi="Times New Roman" w:cs="Times New Roman"/>
          <w:sz w:val="24"/>
          <w:szCs w:val="24"/>
        </w:rPr>
        <w:t xml:space="preserve">nt to join because of various advantages associated with these associations. For </w:t>
      </w:r>
      <w:r w:rsidR="00D56EE8" w:rsidRPr="00700A33">
        <w:rPr>
          <w:rFonts w:ascii="Times New Roman" w:hAnsi="Times New Roman" w:cs="Times New Roman"/>
          <w:sz w:val="24"/>
          <w:szCs w:val="24"/>
        </w:rPr>
        <w:t xml:space="preserve">instance, </w:t>
      </w:r>
      <w:r w:rsidR="00D56EE8"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Kruse</w:t>
      </w:r>
      <w:r w:rsidR="002B2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="00D56EE8"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(2020</w:t>
      </w:r>
      <w:r w:rsidR="00D56EE8" w:rsidRPr="00700A33">
        <w:rPr>
          <w:rFonts w:ascii="Times New Roman" w:hAnsi="Times New Roman" w:cs="Times New Roman"/>
          <w:sz w:val="24"/>
          <w:szCs w:val="24"/>
        </w:rPr>
        <w:t xml:space="preserve">) </w:t>
      </w:r>
      <w:r w:rsidRPr="00700A33">
        <w:rPr>
          <w:rFonts w:ascii="Times New Roman" w:hAnsi="Times New Roman" w:cs="Times New Roman"/>
          <w:sz w:val="24"/>
          <w:szCs w:val="24"/>
        </w:rPr>
        <w:t xml:space="preserve">submitted various advantages for joining professional nursing organizations. First, education; nursing practice involves science and technology, </w:t>
      </w:r>
      <w:r w:rsidR="00012AE0" w:rsidRPr="00700A33">
        <w:rPr>
          <w:rFonts w:ascii="Times New Roman" w:hAnsi="Times New Roman" w:cs="Times New Roman"/>
          <w:sz w:val="24"/>
          <w:szCs w:val="24"/>
        </w:rPr>
        <w:t xml:space="preserve">which keeps changing, thus affecting health care. Therefore, it's important to join professional nursing associations like the state licensing boards to keep updated and continuing education. </w:t>
      </w:r>
      <w:r w:rsidRPr="00700A33">
        <w:rPr>
          <w:rFonts w:ascii="Times New Roman" w:hAnsi="Times New Roman" w:cs="Times New Roman"/>
          <w:sz w:val="24"/>
          <w:szCs w:val="24"/>
        </w:rPr>
        <w:t xml:space="preserve"> </w:t>
      </w:r>
      <w:r w:rsidR="00012AE0" w:rsidRPr="00700A33">
        <w:rPr>
          <w:rFonts w:ascii="Times New Roman" w:hAnsi="Times New Roman" w:cs="Times New Roman"/>
          <w:sz w:val="24"/>
          <w:szCs w:val="24"/>
        </w:rPr>
        <w:t xml:space="preserve">Second, certification is also another advantage why nurses join these organizations. Joining professional nursing groups offer certification, which will further demonstrate professionalism and commitment. Third, annual conventions; as a member of professional associations like the nurses' groups, you will be able to get notifications and announcements of national or international conventions and attend at a low rate, where members </w:t>
      </w:r>
      <w:r w:rsidR="00D56EE8" w:rsidRPr="00700A33">
        <w:rPr>
          <w:rFonts w:ascii="Times New Roman" w:hAnsi="Times New Roman" w:cs="Times New Roman"/>
          <w:sz w:val="24"/>
          <w:szCs w:val="24"/>
        </w:rPr>
        <w:t xml:space="preserve">meet and make professional connections from various specialties. </w:t>
      </w:r>
    </w:p>
    <w:p w:rsidR="00700A33" w:rsidRDefault="00A725C6" w:rsidP="002B2BAF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696190" w:rsidRPr="00700A33" w:rsidRDefault="00A725C6" w:rsidP="002B2B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Salary negotiation is </w:t>
      </w:r>
      <w:r w:rsidR="00BC7EAC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an important thing that any employee should do before signing for any employment. This is very essential for the value of the work you do to get recognized by the </w:t>
      </w:r>
      <w:r w:rsidR="00BC7EAC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employer</w:t>
      </w:r>
      <w:r w:rsidR="009913F1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  <w:r w:rsidR="00BC7EAC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From </w:t>
      </w:r>
      <w:r w:rsidR="00700A33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this respect, </w:t>
      </w:r>
      <w:r w:rsidR="00700A33"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Tewari (2021</w:t>
      </w:r>
      <w:r w:rsidR="00700A33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  <w:r w:rsidR="00BC7EAC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gave submission</w:t>
      </w:r>
      <w:r w:rsidR="00700A33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 on various methods that employees</w:t>
      </w:r>
      <w:r w:rsidR="00BC7EAC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can use to negotiate </w:t>
      </w:r>
      <w:r w:rsidR="002B2BA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for the salary.</w:t>
      </w:r>
    </w:p>
    <w:p w:rsidR="00D14F1E" w:rsidRPr="00700A33" w:rsidRDefault="00A725C6" w:rsidP="002B2BAF">
      <w:pPr>
        <w:tabs>
          <w:tab w:val="left" w:pos="8456"/>
        </w:tabs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B2BA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One of them is the collective bargaining agreement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which </w:t>
      </w:r>
      <w:r w:rsidR="00696190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takes the traditional negotiating format where bargaining teams are involved. </w:t>
      </w:r>
      <w:r w:rsidR="009A3BE8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This team may involve the employer's team, including the administrator and the employee's professional organization. 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second is the </w:t>
      </w:r>
      <w:r w:rsidR="009A3BE8" w:rsidRPr="002B2BA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Interest-Based Bargaining (IBB) Method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9A3BE8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This method is also referred to as a “win-win” method as it entails </w:t>
      </w:r>
      <w:r w:rsidR="00860E84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mutual gains negotiations</w:t>
      </w:r>
      <w:r w:rsidR="009A3BE8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Interest-based bargaining is dispensed through an executive spokesperson using a systematic review of formal exchange of written proposals. 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Normally, t</w:t>
      </w:r>
      <w:r w:rsidR="009A3BE8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hese proposals are done in favor of the employee and the employer under the reliance on th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 interest of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all the parties. Third, another method is the </w:t>
      </w:r>
      <w:r w:rsidRPr="002B2BA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mid-term negotiation method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860E84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This salary negotiation method is based on </w:t>
      </w:r>
      <w:r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statutory duty to bargain and bargain in the mid-term. For example, the Illinois Education Labor Relation Act (IELRA) mandates employ</w:t>
      </w:r>
      <w:r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ers to negotiate wages, hours, and the terms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conditions for employment. Lastly is the </w:t>
      </w:r>
      <w:r w:rsidRPr="002B2BA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reparation. </w:t>
      </w:r>
      <w:r w:rsidR="00875221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It involves extensive training of the employees who</w:t>
      </w:r>
      <w:r w:rsidR="009913F1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are </w:t>
      </w:r>
      <w:r w:rsidR="00875221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expected to participate and contribute in the actual process of salary bargain; thus, prior preparation is key. According </w:t>
      </w:r>
      <w:r w:rsidR="00700A33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to </w:t>
      </w:r>
      <w:r w:rsidR="00700A33"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Marcea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et al. </w:t>
      </w:r>
      <w:r w:rsidR="00700A33"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(2021)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 it i</w:t>
      </w:r>
      <w:r w:rsidR="00875221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 important to consider various critical areas in the preparation method of salary bargaining. For example, financial modeling preparation, financial projections, state budgetary issues, salary schedules, and current market comparable.  </w:t>
      </w:r>
    </w:p>
    <w:p w:rsidR="00700A33" w:rsidRDefault="00A725C6" w:rsidP="002B2BAF">
      <w:pPr>
        <w:tabs>
          <w:tab w:val="left" w:pos="8456"/>
        </w:tabs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Accordingly, </w:t>
      </w:r>
      <w:r w:rsidR="0009687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in </w:t>
      </w:r>
      <w:r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case of </w:t>
      </w:r>
      <w:r w:rsidR="009913F1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(APRN), the best method to negotiate salary is</w:t>
      </w:r>
      <w:r w:rsidR="002B2BAF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collective bargaining agreement approach.</w:t>
      </w:r>
      <w:r w:rsidR="009913F1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This is an essential method because it will involve the nursing professional organizations that can negotiate on behalf of its members. Further, this method provides a more secure salary agreement in the employee'</w:t>
      </w:r>
      <w:r w:rsidR="006D5F3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 interest and best serves the L</w:t>
      </w:r>
      <w:r w:rsidR="009913F1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abor</w:t>
      </w:r>
      <w:r w:rsidR="006D5F3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Act</w:t>
      </w:r>
      <w:r w:rsidR="009913F1" w:rsidRPr="00700A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</w:p>
    <w:p w:rsidR="009D6DDC" w:rsidRPr="009D6DDC" w:rsidRDefault="00A725C6" w:rsidP="002B2BAF">
      <w:pPr>
        <w:tabs>
          <w:tab w:val="left" w:pos="8456"/>
        </w:tabs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D6DD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Refe</w:t>
      </w:r>
      <w:r w:rsidRPr="009D6DD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rences</w:t>
      </w:r>
    </w:p>
    <w:p w:rsidR="00BD6E00" w:rsidRPr="00700A33" w:rsidRDefault="00A725C6" w:rsidP="002B2BAF">
      <w:pPr>
        <w:tabs>
          <w:tab w:val="left" w:pos="8456"/>
        </w:tabs>
        <w:spacing w:line="480" w:lineRule="auto"/>
        <w:ind w:left="720" w:hanging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Kruse, J. A., Didion, J., &amp; Perzynski, K. (2020). Strengthening Student Nurses’ Sense of Belonging Through Attendance at a Professional Nursing Conference. </w:t>
      </w:r>
      <w:r w:rsidRPr="00700A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AORN journal</w:t>
      </w:r>
      <w:r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00A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112</w:t>
      </w:r>
      <w:r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227-236.</w:t>
      </w:r>
    </w:p>
    <w:p w:rsidR="00700A33" w:rsidRPr="00700A33" w:rsidRDefault="00A725C6" w:rsidP="002B2BAF">
      <w:pPr>
        <w:tabs>
          <w:tab w:val="left" w:pos="8456"/>
        </w:tabs>
        <w:spacing w:before="24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Marceau, R., O’Rourke, T., Montesanti, S., &amp; Hunter, K. </w:t>
      </w:r>
      <w:r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(2021). A Critical Analysis of Funding Models: Sustainability of the Nurse Practitioner Role in Canada. </w:t>
      </w:r>
      <w:r w:rsidRPr="00700A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for Nurse Practitioners</w:t>
      </w:r>
      <w:r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56EE8" w:rsidRPr="00700A33" w:rsidRDefault="00A725C6" w:rsidP="002B2BAF">
      <w:pPr>
        <w:tabs>
          <w:tab w:val="left" w:pos="8456"/>
        </w:tabs>
        <w:spacing w:before="24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Sharafi, S., Cheraghi, M. A., Nasiri, A., &amp; Mahmoudirad, G. (2021, May). Diplomatic activities of Iranian Nursing O</w:t>
      </w:r>
      <w:r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rganization: A qualitative study. In </w:t>
      </w:r>
      <w:r w:rsidRPr="00700A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Nursing Forum</w:t>
      </w:r>
      <w:r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9913F1" w:rsidRPr="00700A33" w:rsidRDefault="00A725C6" w:rsidP="002B2BAF">
      <w:pPr>
        <w:tabs>
          <w:tab w:val="left" w:pos="8456"/>
        </w:tabs>
        <w:spacing w:before="24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Tewari, G. (2021). Local Governance, Pay Equity, and the Pandemic: Applying New York City Human Rights Law to Salary Negotiation. </w:t>
      </w:r>
      <w:r w:rsidRPr="00700A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Albany Law Review, Forthcoming</w:t>
      </w:r>
      <w:r w:rsidRPr="0070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9913F1" w:rsidRPr="00700A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4B"/>
    <w:rsid w:val="00012AE0"/>
    <w:rsid w:val="0009687B"/>
    <w:rsid w:val="0010572C"/>
    <w:rsid w:val="002B2BAF"/>
    <w:rsid w:val="00334590"/>
    <w:rsid w:val="0050534B"/>
    <w:rsid w:val="00597863"/>
    <w:rsid w:val="00696190"/>
    <w:rsid w:val="006D5F3C"/>
    <w:rsid w:val="00700A33"/>
    <w:rsid w:val="00860E84"/>
    <w:rsid w:val="00875221"/>
    <w:rsid w:val="009913F1"/>
    <w:rsid w:val="009A3BE8"/>
    <w:rsid w:val="009D6DDC"/>
    <w:rsid w:val="00A725C6"/>
    <w:rsid w:val="00B04365"/>
    <w:rsid w:val="00B73354"/>
    <w:rsid w:val="00B75540"/>
    <w:rsid w:val="00BC7EAC"/>
    <w:rsid w:val="00BD6E00"/>
    <w:rsid w:val="00C54B9B"/>
    <w:rsid w:val="00C86892"/>
    <w:rsid w:val="00D04EA4"/>
    <w:rsid w:val="00D117E4"/>
    <w:rsid w:val="00D14F1E"/>
    <w:rsid w:val="00D56EE8"/>
    <w:rsid w:val="00F4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D585"/>
  <w15:docId w15:val="{97441539-52E9-4392-B205-F65B5CFC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2021-07-20T06:25:00Z</dcterms:created>
  <dcterms:modified xsi:type="dcterms:W3CDTF">2021-07-20T10:42:00Z</dcterms:modified>
</cp:coreProperties>
</file>